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9C" w:rsidRDefault="0041499C">
      <w:pPr>
        <w:rPr>
          <w:sz w:val="20"/>
        </w:rPr>
      </w:pPr>
      <w:r>
        <w:rPr>
          <w:sz w:val="20"/>
        </w:rPr>
        <w:t>SYKE 2005-12-19</w:t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872"/>
        <w:gridCol w:w="361"/>
        <w:gridCol w:w="736"/>
        <w:gridCol w:w="390"/>
        <w:gridCol w:w="390"/>
        <w:gridCol w:w="26"/>
        <w:gridCol w:w="364"/>
        <w:gridCol w:w="390"/>
        <w:gridCol w:w="390"/>
        <w:gridCol w:w="25"/>
        <w:gridCol w:w="365"/>
        <w:gridCol w:w="385"/>
        <w:gridCol w:w="385"/>
        <w:gridCol w:w="385"/>
        <w:gridCol w:w="385"/>
        <w:gridCol w:w="385"/>
        <w:gridCol w:w="385"/>
      </w:tblGrid>
      <w:tr w:rsidR="0041499C">
        <w:trPr>
          <w:trHeight w:val="1155"/>
        </w:trPr>
        <w:tc>
          <w:tcPr>
            <w:tcW w:w="10060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SELVITYS JÄTEVESIJÄRJESTELMÄSTÄ, </w:t>
            </w:r>
          </w:p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JÄTEVESIJÄRJESTELMÄN KÄYTTÖ- JA HUOLTO-OHJE JA PÄIVÄKIRJA</w:t>
            </w:r>
          </w:p>
        </w:tc>
      </w:tr>
      <w:tr w:rsidR="0041499C">
        <w:trPr>
          <w:trHeight w:val="840"/>
        </w:trPr>
        <w:tc>
          <w:tcPr>
            <w:tcW w:w="10060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Huom. Ohje ja päiväkirja on laadittu järjestelmälle, johon kuuluu saostussäiliö ja maasuodattamo. Jos nyky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seen järjestelmään kuuluu vain saostussäiliö (saostuskaivo), poistetaan maasuodattamoa koskevat ko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dat.</w:t>
            </w:r>
          </w:p>
        </w:tc>
      </w:tr>
      <w:tr w:rsidR="0041499C">
        <w:trPr>
          <w:trHeight w:val="930"/>
        </w:trPr>
        <w:tc>
          <w:tcPr>
            <w:tcW w:w="1006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Varoitus: Saostussäiliöön (saostuskaivoon) tai sen osaan, pumppaamoon tai muuhun jätevesikaivoon tai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ka -altaaseen ei saa mennä ilman asianmukaista suojavarustusta. Jätevedestä irtoaa metaania ja muita vaarall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sia kaasuja, jotka voivat olla hajuttomia ja näkymättömiä ja jotka tainnuttavat nopeasti. </w:t>
            </w:r>
          </w:p>
        </w:tc>
      </w:tr>
      <w:tr w:rsidR="0041499C">
        <w:trPr>
          <w:trHeight w:val="188"/>
        </w:trPr>
        <w:tc>
          <w:tcPr>
            <w:tcW w:w="10060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41499C">
        <w:trPr>
          <w:trHeight w:val="474"/>
        </w:trPr>
        <w:tc>
          <w:tcPr>
            <w:tcW w:w="1006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Selvitys jätevesijärjestelmästä</w:t>
            </w:r>
          </w:p>
        </w:tc>
      </w:tr>
      <w:tr w:rsidR="0041499C">
        <w:trPr>
          <w:cantSplit/>
          <w:trHeight w:val="24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Kiintei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tön omi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taja tai haltija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</w:tr>
      <w:tr w:rsidR="0041499C">
        <w:trPr>
          <w:cantSplit/>
          <w:trHeight w:val="525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1499C">
        <w:trPr>
          <w:cantSplit/>
          <w:trHeight w:val="27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41499C">
        <w:trPr>
          <w:cantSplit/>
          <w:trHeight w:val="649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1499C">
        <w:trPr>
          <w:cantSplit/>
          <w:trHeight w:val="27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</w:tc>
      </w:tr>
      <w:tr w:rsidR="0041499C">
        <w:trPr>
          <w:cantSplit/>
          <w:trHeight w:val="603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Puhelin virka-aikana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</w:tr>
      <w:tr w:rsidR="0041499C">
        <w:trPr>
          <w:cantSplit/>
          <w:trHeight w:val="607"/>
        </w:trPr>
        <w:tc>
          <w:tcPr>
            <w:tcW w:w="14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86" w:type="dxa"/>
            <w:gridSpan w:val="1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1499C">
        <w:trPr>
          <w:cantSplit/>
          <w:trHeight w:val="285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Kiintei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tön tiedot</w:t>
            </w:r>
          </w:p>
        </w:tc>
        <w:tc>
          <w:tcPr>
            <w:tcW w:w="8619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41499C">
        <w:trPr>
          <w:cantSplit/>
          <w:trHeight w:val="727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Kylä</w:t>
            </w:r>
          </w:p>
        </w:tc>
        <w:tc>
          <w:tcPr>
            <w:tcW w:w="27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 ja RN:o</w:t>
            </w:r>
          </w:p>
        </w:tc>
        <w:tc>
          <w:tcPr>
            <w:tcW w:w="26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Tilan pinta-ala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703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Kiinteistön käyttötarkoitus:</w:t>
            </w:r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Vakituinen asunto </w:t>
            </w:r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6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Loma-asunto, käyttöaste</w:t>
            </w:r>
          </w:p>
        </w:tc>
        <w:tc>
          <w:tcPr>
            <w:tcW w:w="1542" w:type="dxa"/>
            <w:gridSpan w:val="4"/>
            <w:tcBorders>
              <w:top w:val="nil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44" w:type="dxa"/>
            <w:gridSpan w:val="11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kk/vuosi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4" w:name="Teksti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6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Kiinteistöllä sijaitsevat rakennukset:</w:t>
            </w:r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asuinrakennus </w:t>
            </w:r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sauna 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aitta </w:t>
            </w:r>
          </w:p>
        </w:tc>
        <w:tc>
          <w:tcPr>
            <w:tcW w:w="5386" w:type="dxa"/>
            <w:gridSpan w:val="15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9" w:name="Teksti57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Talousveden hankinta:</w:t>
            </w:r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vesihuoltolaitoksen (kunnan tai yksityisen) vesi </w:t>
            </w:r>
          </w:p>
        </w:tc>
      </w:tr>
      <w:tr w:rsidR="0041499C">
        <w:trPr>
          <w:cantSplit/>
          <w:trHeight w:val="459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oma vedenottokaivo</w:t>
            </w:r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rengaskaivo</w:t>
            </w:r>
          </w:p>
        </w:tc>
      </w:tr>
      <w:tr w:rsidR="0041499C">
        <w:trPr>
          <w:cantSplit/>
          <w:trHeight w:val="355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porakaivo</w:t>
            </w:r>
          </w:p>
        </w:tc>
      </w:tr>
      <w:tr w:rsidR="0041499C">
        <w:trPr>
          <w:cantSplit/>
          <w:trHeight w:val="399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5" w:name="Teksti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386" w:type="dxa"/>
            <w:gridSpan w:val="15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99C">
        <w:trPr>
          <w:cantSplit/>
          <w:trHeight w:val="415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Talousvesi johdetaan käyttöön painee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lisena (esim. pumppaamalla)</w:t>
            </w:r>
          </w:p>
        </w:tc>
      </w:tr>
      <w:tr w:rsidR="0041499C">
        <w:trPr>
          <w:cantSplit/>
          <w:trHeight w:val="439"/>
        </w:trPr>
        <w:tc>
          <w:tcPr>
            <w:tcW w:w="1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Talousvesi kannetaan kaivosta</w:t>
            </w:r>
          </w:p>
        </w:tc>
      </w:tr>
      <w:tr w:rsidR="0041499C">
        <w:trPr>
          <w:cantSplit/>
          <w:trHeight w:val="327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Jätevesijä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jestelmä</w:t>
            </w:r>
          </w:p>
        </w:tc>
        <w:tc>
          <w:tcPr>
            <w:tcW w:w="8619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Asukkaita / käyttäjiä päivittäin</w:t>
            </w:r>
          </w:p>
        </w:tc>
      </w:tr>
      <w:tr w:rsidR="0041499C">
        <w:trPr>
          <w:cantSplit/>
          <w:trHeight w:val="54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8" w:name="Teksti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Käymälätyyppi:</w:t>
            </w:r>
          </w:p>
        </w:tc>
      </w:tr>
      <w:tr w:rsidR="0041499C">
        <w:trPr>
          <w:cantSplit/>
          <w:trHeight w:val="591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Kuivakäymälä</w:t>
            </w:r>
          </w:p>
        </w:tc>
        <w:tc>
          <w:tcPr>
            <w:tcW w:w="5386" w:type="dxa"/>
            <w:gridSpan w:val="15"/>
            <w:tcBorders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Erotteleva käymälä, virtsaa ei johdeta jätevesijärjeste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mään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Vesikäymälä</w:t>
            </w:r>
          </w:p>
        </w:tc>
        <w:tc>
          <w:tcPr>
            <w:tcW w:w="5386" w:type="dxa"/>
            <w:gridSpan w:val="15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Erotteleva käymälä, ulosteita ei johdeta jätevesijärjeste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mään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Käymäläjäte: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Käymäläjäte kerätään vesitiiviiseen astiaan 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Käymäläjätettä ei kerätä vesitiiviiseen astiaan </w:t>
            </w:r>
          </w:p>
        </w:tc>
      </w:tr>
      <w:tr w:rsidR="0041499C">
        <w:trPr>
          <w:cantSplit/>
          <w:trHeight w:val="4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Käymäläjätteen käsittely ja loppusijoitus:</w:t>
            </w:r>
          </w:p>
        </w:tc>
      </w:tr>
      <w:tr w:rsidR="0041499C">
        <w:trPr>
          <w:cantSplit/>
          <w:trHeight w:val="111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5" w:name="Teksti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Umpisäiliön tiedot:</w:t>
            </w:r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Umpisäiliö kaikille jätevesille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Umpisäiliö käymäläjätevesille</w:t>
            </w:r>
          </w:p>
        </w:tc>
      </w:tr>
      <w:tr w:rsidR="0041499C">
        <w:trPr>
          <w:cantSplit/>
          <w:trHeight w:val="873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Ei umpisäiliötä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Umpisäiliön etäisyys lähimmästä vedenottopaikasta (esim. ka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vosta):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9" w:name="Teksti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Umpisäiliön tyhjennyksestä vastaavan nimi ja yhteystiedot:</w:t>
            </w:r>
          </w:p>
        </w:tc>
      </w:tr>
      <w:tr w:rsidR="0041499C">
        <w:trPr>
          <w:cantSplit/>
          <w:trHeight w:val="1094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0" w:name="Teksti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Jätevesien käsittelyjärjestelmään johdettavat jätevedet: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Kaikki asumajätevedet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Vain käymäläjätevedet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Vain harmaat jätevedet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Vain pesutilojen (esim. saunan) jätevedet</w:t>
            </w:r>
          </w:p>
        </w:tc>
      </w:tr>
      <w:tr w:rsidR="0041499C">
        <w:trPr>
          <w:cantSplit/>
          <w:trHeight w:val="36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Muita jätevesiä, mitä ? (esim. elinkeinotoiminnasta)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78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46" w:name="Teksti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41499C">
        <w:trPr>
          <w:cantSplit/>
          <w:trHeight w:val="46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Jätevesien käsittelyjärjestelmän tiedot: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Pelkkä saostussäiliö tai -kaivo 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Saostussäiliö   +   maahanimeyttämö</w:t>
            </w:r>
          </w:p>
        </w:tc>
      </w:tr>
      <w:tr w:rsidR="0041499C">
        <w:trPr>
          <w:cantSplit/>
          <w:trHeight w:val="49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Saostussäiliö   +   maasuodattamo</w:t>
            </w:r>
          </w:p>
        </w:tc>
      </w:tr>
      <w:tr w:rsidR="0041499C">
        <w:trPr>
          <w:cantSplit/>
          <w:trHeight w:val="27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tai -kaivon materiaali (betoni, muovi ?):</w:t>
            </w:r>
          </w:p>
        </w:tc>
      </w:tr>
      <w:tr w:rsidR="0041499C">
        <w:trPr>
          <w:cantSplit/>
          <w:trHeight w:val="57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50" w:name="Teksti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1499C">
        <w:trPr>
          <w:cantSplit/>
          <w:trHeight w:val="33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Osien lukumäärä: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Vesitilavuus:</w:t>
            </w:r>
          </w:p>
        </w:tc>
      </w:tr>
      <w:tr w:rsidR="0041499C">
        <w:trPr>
          <w:cantSplit/>
          <w:trHeight w:val="63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1" w:name="Teksti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747" w:type="dxa"/>
            <w:gridSpan w:val="16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2" w:name="Teksti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Maahanimeyttämön etäisyys lähimmästä pohjavedenottamosta (kaivosta):</w:t>
            </w:r>
          </w:p>
        </w:tc>
      </w:tr>
      <w:tr w:rsidR="0041499C">
        <w:trPr>
          <w:cantSplit/>
          <w:trHeight w:val="409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53" w:name="Teksti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Maasuodattamon koko ja linjojen lukumäärä:</w:t>
            </w:r>
          </w:p>
        </w:tc>
      </w:tr>
      <w:tr w:rsidR="0041499C">
        <w:trPr>
          <w:cantSplit/>
          <w:trHeight w:val="36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4" w:name="Teksti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Maasuodattamon suodatinmateriaalin koostumus:</w:t>
            </w:r>
          </w:p>
        </w:tc>
      </w:tr>
      <w:tr w:rsidR="0041499C">
        <w:trPr>
          <w:cantSplit/>
          <w:trHeight w:val="37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5" w:name="Teksti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Pienpuhdistamo </w:t>
            </w:r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Pienpuhdistamon merkki, malli, valmistaja ja asennusvuosi:</w:t>
            </w:r>
          </w:p>
        </w:tc>
      </w:tr>
      <w:tr w:rsidR="0041499C">
        <w:trPr>
          <w:cantSplit/>
          <w:trHeight w:val="976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57" w:name="Teksti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Kuuluuko jätevesien käsittelyjärjestelmään fosforin poistomenetelmä?</w:t>
            </w:r>
          </w:p>
        </w:tc>
      </w:tr>
      <w:tr w:rsidR="0041499C">
        <w:trPr>
          <w:cantSplit/>
          <w:trHeight w:val="45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sz w:val="20"/>
                <w:szCs w:val="20"/>
              </w:rPr>
              <w:t xml:space="preserve"> Kyllä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z w:val="20"/>
                <w:szCs w:val="20"/>
              </w:rPr>
              <w:t xml:space="preserve"> Ei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Fosforin poistomenetelmä:</w:t>
            </w:r>
          </w:p>
        </w:tc>
      </w:tr>
      <w:tr w:rsidR="0041499C">
        <w:trPr>
          <w:cantSplit/>
          <w:trHeight w:val="42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>
              <w:rPr>
                <w:rFonts w:ascii="Arial" w:hAnsi="Arial" w:cs="Arial"/>
                <w:sz w:val="20"/>
                <w:szCs w:val="20"/>
              </w:rPr>
              <w:t xml:space="preserve"> Fosforisuodatin </w:t>
            </w:r>
          </w:p>
        </w:tc>
        <w:tc>
          <w:tcPr>
            <w:tcW w:w="5747" w:type="dxa"/>
            <w:gridSpan w:val="16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  <w:szCs w:val="20"/>
              </w:rPr>
              <w:t xml:space="preserve"> Fosforin kemiallinen saostus</w:t>
            </w:r>
          </w:p>
        </w:tc>
      </w:tr>
      <w:tr w:rsidR="0041499C">
        <w:trPr>
          <w:cantSplit/>
          <w:trHeight w:val="330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Muu menetelmä, mikä?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62" w:name="Teksti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Fosforin poistolaitteiston merkki, malli, valmistaja ja asennusvuosi</w:t>
            </w:r>
          </w:p>
        </w:tc>
      </w:tr>
      <w:tr w:rsidR="0041499C">
        <w:trPr>
          <w:cantSplit/>
          <w:trHeight w:val="896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3" w:name="Teksti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Käsitellyn jäteveden näytteenottokohta (esim. näytteenottoputki, purkuputki)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4" w:name="Teksti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käsittelyjärjestelmän purkupaikka (esim. avo-oja):</w:t>
            </w:r>
          </w:p>
        </w:tc>
      </w:tr>
      <w:tr w:rsidR="0041499C">
        <w:trPr>
          <w:cantSplit/>
          <w:trHeight w:val="705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5" w:name="Teksti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41499C">
        <w:trPr>
          <w:cantSplit/>
          <w:trHeight w:val="33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Purkupaikan etäisyys järvestä tai joesta:</w:t>
            </w:r>
          </w:p>
        </w:tc>
      </w:tr>
      <w:tr w:rsidR="0041499C">
        <w:trPr>
          <w:cantSplit/>
          <w:trHeight w:val="676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66" w:name="Teksti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41499C">
        <w:trPr>
          <w:cantSplit/>
          <w:trHeight w:val="31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suunnittelijan nimi ja yhteystiedot</w:t>
            </w:r>
          </w:p>
        </w:tc>
      </w:tr>
      <w:tr w:rsidR="0041499C">
        <w:trPr>
          <w:cantSplit/>
          <w:trHeight w:val="1138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67" w:name="Teksti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41499C">
        <w:trPr>
          <w:cantSplit/>
          <w:trHeight w:val="285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rakentajan nimi ja yhteystiedot</w:t>
            </w:r>
          </w:p>
        </w:tc>
      </w:tr>
      <w:tr w:rsidR="0041499C">
        <w:trPr>
          <w:cantSplit/>
          <w:trHeight w:val="1134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68" w:name="Teksti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41499C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käyttö- ja huolto-ohjeen laatijan nimi ja yhteystiedot</w:t>
            </w:r>
          </w:p>
        </w:tc>
      </w:tr>
      <w:tr w:rsidR="0041499C">
        <w:trPr>
          <w:cantSplit/>
          <w:trHeight w:val="1122"/>
        </w:trPr>
        <w:tc>
          <w:tcPr>
            <w:tcW w:w="1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1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69" w:name="Teksti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41499C">
        <w:trPr>
          <w:trHeight w:val="615"/>
        </w:trPr>
        <w:tc>
          <w:tcPr>
            <w:tcW w:w="1006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Jätevesijärjestelmän käyttö- ja huolto-ohje ja päiväkirja</w:t>
            </w:r>
          </w:p>
        </w:tc>
      </w:tr>
      <w:tr w:rsidR="0041499C">
        <w:trPr>
          <w:trHeight w:val="439"/>
        </w:trPr>
        <w:tc>
          <w:tcPr>
            <w:tcW w:w="14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499C" w:rsidRDefault="0041499C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bookmarkStart w:id="70" w:name="Teksti32"/>
            <w:r>
              <w:rPr>
                <w:rFonts w:ascii="Arial" w:hAnsi="Arial" w:cs="Arial"/>
                <w:sz w:val="20"/>
                <w:szCs w:val="20"/>
              </w:rPr>
              <w:t xml:space="preserve">uosi </w:t>
            </w:r>
          </w:p>
        </w:tc>
        <w:tc>
          <w:tcPr>
            <w:tcW w:w="8619" w:type="dxa"/>
            <w:gridSpan w:val="17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cantSplit/>
          <w:trHeight w:val="420"/>
        </w:trPr>
        <w:tc>
          <w:tcPr>
            <w:tcW w:w="541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Jätevesijärjestelmän käyttöön, hoitoon, huoltoon ja tarkastu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siin kuuluvat toimenpiteet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kuukausi</w:t>
            </w:r>
          </w:p>
        </w:tc>
      </w:tr>
      <w:tr w:rsidR="0041499C">
        <w:trPr>
          <w:cantSplit/>
          <w:trHeight w:val="464"/>
        </w:trPr>
        <w:tc>
          <w:tcPr>
            <w:tcW w:w="5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</w:tr>
      <w:tr w:rsidR="0041499C">
        <w:trPr>
          <w:trHeight w:val="81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Vesimittarin lukema (litraa tai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 merk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tään ylös kerran ku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kaudessa (ohje 1).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Vedenkulutus (litraa tai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kuukauden 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kana (ohje 2).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65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tuskaivon) tiiviyden tarkastus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taa vuodessa (ohje 3).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2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tuskaivon) tyhjennys kaksi kertaa vuode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sa (ohje 4).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7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lietekertym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en poistaminen tyhjennysten yhteyde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sä (ohje 5).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9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sisäpint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jen tarkastus ja vuotavien kohtien korjaus ty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jennysten y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teydessä (ohje 6).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8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sisäpuoli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ten laitteiden huuhtelu ja kuntotarkastus tyhje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nysten yhte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dessä (ohje 7).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1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täyttö vede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lä tyhjennysten jälkeen (ohje 8).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66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Puhdistamoalueen yleistarkastus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taa vuodessa (ohje 9). 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82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Kuivatuksen ja pintavesien johtamisen to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mivuuden tarkastus kaksi kertaa vu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dessa (ohje 10).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63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Viemäriputkilinjojen maastotarkastus kaksi kertaa vuode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sa (ohje 11).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9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Jätevesijärjestelmään kuuluvien kaivojen tarkastukset kaksi kertaa vuodessa ja pu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distukset tarvitt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essa (ohje 12).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891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Jakokaivon virtauksen säätölaitteiston toim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vuuden tarkastus kaksi kertaa vu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dessa (ohje 13).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74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Purkuputken toiminnan ja purkupaikan 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taa vuodessa (ohje 14).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Puhdistetun jäteveden aistinvarainen laat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arvio kaksi kertaa vu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dessa (ohje 15).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Vesi- ja viemärikalu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teiden toimivuuden tarkastus kaksi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taa vuodessa (ohje 16).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713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Imeytysputkien toiminnan tarkastus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ran vuodessa (ohje 17).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Kokoomaputkien toiminnan tarkastus ke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ran vuodessa(ohje 18).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trHeight w:val="7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lietepa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jan paksuuden mittaus tarvittaessa (ohje 19).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499C">
        <w:trPr>
          <w:trHeight w:val="65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Tuuletusjärjestelmän toiminnan tarkastus kerran vuodessa (ohje 20).</w:t>
            </w:r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499C">
        <w:trPr>
          <w:cantSplit/>
          <w:trHeight w:val="594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Toimintao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jeet vika- ja häiriötilantei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Vika tai häiriö</w:t>
            </w:r>
          </w:p>
        </w:tc>
        <w:tc>
          <w:tcPr>
            <w:tcW w:w="465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Toimintaohje</w:t>
            </w:r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71" w:name="Teksti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2" w:name="Teksti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73" w:name="Teksti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74" w:name="Teksti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5" w:name="Teksti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76" w:name="Teksti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7" w:name="Teksti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78" w:name="Teksti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9" w:name="Teksti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0" w:name="Teksti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41499C">
        <w:trPr>
          <w:cantSplit/>
          <w:trHeight w:val="435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1" w:name="Teksti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2" w:name="Teksti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41499C">
        <w:trPr>
          <w:cantSplit/>
          <w:trHeight w:val="705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Havaitut viat ja häiriöt sekä niiden korj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ukset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Millainen vika tai häiriö on havaittu? Päiv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määrä.</w:t>
            </w:r>
          </w:p>
        </w:tc>
        <w:tc>
          <w:tcPr>
            <w:tcW w:w="465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Miten vika tai häiriö on korja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tu ? Päivämäärä.</w:t>
            </w:r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83" w:name="Teksti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84" w:name="Teksti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85" w:name="Teksti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86" w:name="Teksti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87" w:name="Teksti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8" w:name="Teksti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9" w:name="Teksti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90" w:name="Teksti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41499C">
        <w:trPr>
          <w:cantSplit/>
          <w:trHeight w:val="480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1" w:name="Teksti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92" w:name="Teksti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</w:tr>
      <w:tr w:rsidR="0041499C">
        <w:trPr>
          <w:cantSplit/>
          <w:trHeight w:val="736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Ympäristö-   kuormituksen arviointi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Edellisen arvioinnin päivämäärä, määrityst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lokset ja arvioidut kuormituksen v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henemät:</w:t>
            </w:r>
          </w:p>
        </w:tc>
        <w:tc>
          <w:tcPr>
            <w:tcW w:w="465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Seuraavan arvioinnin aja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kohta:</w:t>
            </w:r>
          </w:p>
        </w:tc>
      </w:tr>
      <w:tr w:rsidR="0041499C">
        <w:trPr>
          <w:cantSplit/>
          <w:trHeight w:val="1134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93" w:name="Teksti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4" w:name="Teksti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41499C">
        <w:trPr>
          <w:trHeight w:val="633"/>
        </w:trPr>
        <w:tc>
          <w:tcPr>
            <w:tcW w:w="1006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Ohjeet</w:t>
            </w:r>
          </w:p>
        </w:tc>
      </w:tr>
      <w:tr w:rsidR="0041499C">
        <w:trPr>
          <w:trHeight w:val="105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määrä voidaan tarvittaessa arvioida viemäröidyn talouden vedenkulutuksen peru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teella. Vedenkulutuksen selvittämiseksi vesimittarin lukema kirjataan kuukauden lopussa. Jos vesimittaria ei ole, joudutaan määrä arvioimaan muulla tavoin. Tietoa jätevesien määrästä käyt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tään selvitettäessä jätevesijärjestelmän ja jätevesistä ympäristöön aiheutuvaa kuorm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tusta.</w:t>
            </w:r>
          </w:p>
        </w:tc>
      </w:tr>
      <w:tr w:rsidR="0041499C">
        <w:trPr>
          <w:trHeight w:val="66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2.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Kuukauden vedenkulutus lasketaan vähentämällä kuukauden lopussa kirjatusta vesimittarin 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kemasta edellisen kuukauden lopussa kirjattu lukema.</w:t>
            </w:r>
          </w:p>
        </w:tc>
      </w:tr>
      <w:tr w:rsidR="0041499C">
        <w:trPr>
          <w:trHeight w:val="92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3.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osien lietteen pinnantasot tarkastetaan ennen tyhjennystä. Joka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sen osaston nestepinnan tason tulee olla ulos johtavan putken alapinnan tasolla. Jos lie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teen pinnantaso on sen alapuolella, on mahdollista että saostussäiliö tai sen osa vuotaa ulo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päin.</w:t>
            </w:r>
          </w:p>
        </w:tc>
      </w:tr>
      <w:tr w:rsidR="0041499C">
        <w:trPr>
          <w:trHeight w:val="49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4.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kaikki osat tyhjennetään lietteestä ja 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destä.</w:t>
            </w:r>
          </w:p>
        </w:tc>
      </w:tr>
      <w:tr w:rsidR="0041499C">
        <w:trPr>
          <w:trHeight w:val="90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5.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seinämiin, nurkkiin tai muihin osiin jääneet lietekertymät vo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vat haitata jätevesijärjestelmän toimivuutta. Lietekertymät poistetaan tarvittaessa huuhtelemalla ty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jennyksen jä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keen.</w:t>
            </w:r>
          </w:p>
        </w:tc>
      </w:tr>
      <w:tr w:rsidR="0041499C">
        <w:trPr>
          <w:trHeight w:val="67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Ohje 6.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sisäpinnat tarkastetaan lampun avulla kiinnittäen huomio mahdo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lisesti vuotaviin kohtiin. Vuotavat kohdat korj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taan. </w:t>
            </w:r>
          </w:p>
        </w:tc>
      </w:tr>
      <w:tr w:rsidR="0041499C">
        <w:trPr>
          <w:trHeight w:val="927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7.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(saostuskaivon) sisäpuoliset laitteet (T-haarat ja muut putkiyhteet) huuhde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laan vedellä ja tarkastetaan kiinnittäen huomiota siihen, ovatko laitteet ehjät ja oikeassa ase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nossa. Mahdollinen lähtösiivilä irrotetaan ja huuhdellaan, kertakäyttöinen siivilä vaihdetaan u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teen.</w:t>
            </w:r>
          </w:p>
        </w:tc>
      </w:tr>
      <w:tr w:rsidR="0041499C">
        <w:trPr>
          <w:trHeight w:val="106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8.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Muovinen saostussäiliö (saostuskaivon) tai sen osa voi siirtyä pois paikoiltaan ulkopuolisten 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sien kuten pohjaveden nostepaineen takia. Tämän vuoksi saostussäiliö täytetään vedellä heti tyhjennyksen jälkeen. Näin estetään myös jäteveden mukana tulevan rasvan ja muun kelluvan aineen pääsy jätevesien käsi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telyjärjestelmän seuraavaan vaiheeseen.</w:t>
            </w:r>
          </w:p>
        </w:tc>
      </w:tr>
      <w:tr w:rsidR="0041499C">
        <w:trPr>
          <w:trHeight w:val="9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9.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käsittelyjärjestelmän alueen tulee olla siisti ja hajuton. Pintavesiä ei saa kertyä maa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pintaan. Pitkäjuurisia kasveja ei saa kasvaa alueella niin, että juuret voivat tunkeutua viemäripu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kiin tai muihin rake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teisiin taikka laitteisiin. </w:t>
            </w:r>
          </w:p>
        </w:tc>
      </w:tr>
      <w:tr w:rsidR="0041499C">
        <w:trPr>
          <w:trHeight w:val="83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10.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Maasuodattamoalueen salaojituksen ja niskaojituksen toimivuus tarkastetaan. Maanpinnan mu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toilut tarkastetaan. Kaivojen kansien tulee olla muuta maanpintaa ylempänä. Maanpi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nan tulee olla muotoiltu niin, että sade- ja sulamisvedet valuvat kaivoista ja suodattamoal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eelta poispäin. </w:t>
            </w:r>
          </w:p>
        </w:tc>
      </w:tr>
      <w:tr w:rsidR="0041499C">
        <w:trPr>
          <w:trHeight w:val="89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11.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Tarkastetaan, onko rakennuksista saostussäiliöön, saostussäiliöstä maasuodattamoon ja ma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suodattamosta purkupaikkaan johtavilla viemäriputkilinjoilla havaittavissa maanpainumia, ha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keamia tai jäteveden purka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tumia. </w:t>
            </w:r>
          </w:p>
        </w:tc>
      </w:tr>
      <w:tr w:rsidR="0041499C">
        <w:trPr>
          <w:trHeight w:val="1387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12.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käsittelyjärjestelmään kuuluvien kaivojen kuten jakokaivon, kokoomakaivon, näy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teenottokaivon tai -putken sekä kaikkien viemärin tarkastuskaivojen kunto tarkastetaan. Kaiv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jen seinämien ja betonikaiv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jen saumojen tulee olla ehjät. Putkiyhteiden ja liitosten tulee olla ehjät ja paikoillaan. Kaivojen sisälle mahdollisesti tarttuneet lietekertymät poistetaan ja tarvitt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essa kaivot huuhdellaan vedellä.</w:t>
            </w:r>
          </w:p>
        </w:tc>
      </w:tr>
      <w:tr w:rsidR="0041499C">
        <w:trPr>
          <w:trHeight w:val="7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13.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Jakokaivon virtaussäätimien tasot tarkastetaan ja tarvittaessa säädetään. Jos jäteveden jako linjoille tapahtuu vaappuruuhella, sen toimivuus 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kastetaan.</w:t>
            </w:r>
          </w:p>
        </w:tc>
      </w:tr>
      <w:tr w:rsidR="0041499C">
        <w:trPr>
          <w:trHeight w:val="9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14.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 virtaus purkuputkessa tarkastetaan. Purkuputken päästä poist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taan kasvillisuus, lieju tai muu mahdollinen este. Pieneläinsuoja huuhdellaan ja tarkastetaan. Purkupaikan kunto ja ma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dolliset kasvillisuusmuutokset 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vainnoidaan.</w:t>
            </w:r>
          </w:p>
        </w:tc>
      </w:tr>
      <w:tr w:rsidR="0041499C">
        <w:trPr>
          <w:trHeight w:val="930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15.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Puhdistetun jäteveden ulkonäkö ja haju arvioidaan. Puhdistettua jätevettä otetaan esimerkiksi läpinäkyvään mittalasiin tai kannuun. Jäteveden väriä, sameutta ja kiintoainehiukkasten mä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rää arvioidaan valkoista taustaa va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ten.</w:t>
            </w:r>
          </w:p>
        </w:tc>
      </w:tr>
      <w:tr w:rsidR="0041499C">
        <w:trPr>
          <w:trHeight w:val="1024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16.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Vuotavat vesikalusteet ja vesijohdot voivat kuormittaa turhaan jätevesijärjestelmää. Viemärik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lusteiden vuodot voivat aiheuttaa hajua, likaa ja kaivon saastumisen. Mahdolliset vuot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kohdat sekä tiivisteiden ja vesilukkojen kunto tarkastetaan. Vuodon voi arvioida myös tarkistamalla, py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z w:val="20"/>
                <w:szCs w:val="20"/>
              </w:rPr>
              <w:t>riikö ves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mittari sellaisella hetkellä, jolloin vettä ei käytetä.</w:t>
            </w:r>
          </w:p>
        </w:tc>
      </w:tr>
      <w:tr w:rsidR="0041499C">
        <w:trPr>
          <w:trHeight w:val="4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17.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 virtaus imeytysputkissa tarkastetaan.</w:t>
            </w:r>
          </w:p>
        </w:tc>
      </w:tr>
      <w:tr w:rsidR="0041499C">
        <w:trPr>
          <w:trHeight w:val="405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18.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 virtaus kokoomaputkissa tarkastetaan.</w:t>
            </w:r>
          </w:p>
        </w:tc>
      </w:tr>
      <w:tr w:rsidR="0041499C">
        <w:trPr>
          <w:trHeight w:val="1826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19.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Tavanomainen saostussäiliön (saostuskaivon) tyhjennysväli (kaikki jätevedet kahdesti vuode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sa, harmaat jätevedet kerran vuodessa) ei aina riitä. Jos halutaan tietää, miten täynnä lietettä sao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tussäiliön (saostuskaivon) osat ovat, voidaan lietepatjan paksuus mitata. Mittau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sessa tarvitaan riittävän pitkä tanko tai seiväs ja vaaleaa harsoa tai vastaavaa kangasta (suikale vanhaa lak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naa). Harso tai kangas sidotaan tankoon tai seipääseen, joka sitten painetaan kohtisuoraan 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tattavan kaivon tai säiliön pohjaan. Tankoa tai seivästä pyöritellään vähän aikaa, nostetaan var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vasti ylös ja lietepatjan paksuuden näkee harson värjäytymise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tä.</w:t>
            </w:r>
          </w:p>
        </w:tc>
      </w:tr>
      <w:tr w:rsidR="0041499C">
        <w:trPr>
          <w:trHeight w:val="934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Ohje 20.</w:t>
            </w:r>
          </w:p>
        </w:tc>
        <w:tc>
          <w:tcPr>
            <w:tcW w:w="861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Tuuletusjärjestelmän toimivuus tarkastetaan esim. merkkisavulla. Tuuletusputkien tulee olla su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rassa. Tuuletusputkien päiden tulee ulottua re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lusti maanpinnan yläpuolelle eivätkä ne saa jäädä talvella lumen alle. Tuuletusputkien päistä poistetaan törky ja hatut korjataan oikeaan ase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toon. </w:t>
            </w:r>
          </w:p>
        </w:tc>
      </w:tr>
      <w:tr w:rsidR="0041499C">
        <w:trPr>
          <w:cantSplit/>
          <w:trHeight w:val="89"/>
        </w:trPr>
        <w:tc>
          <w:tcPr>
            <w:tcW w:w="1006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1499C" w:rsidRDefault="0041499C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41499C">
        <w:trPr>
          <w:trHeight w:val="270"/>
        </w:trPr>
        <w:tc>
          <w:tcPr>
            <w:tcW w:w="1441" w:type="dxa"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Liitteet</w:t>
            </w:r>
          </w:p>
        </w:tc>
        <w:tc>
          <w:tcPr>
            <w:tcW w:w="8619" w:type="dxa"/>
            <w:gridSpan w:val="17"/>
            <w:noWrap/>
            <w:vAlign w:val="bottom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Asemapiirros</w:t>
            </w:r>
          </w:p>
        </w:tc>
      </w:tr>
      <w:tr w:rsidR="0041499C">
        <w:trPr>
          <w:trHeight w:val="270"/>
        </w:trPr>
        <w:tc>
          <w:tcPr>
            <w:tcW w:w="1441" w:type="dxa"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9" w:type="dxa"/>
            <w:gridSpan w:val="17"/>
            <w:noWrap/>
            <w:vAlign w:val="bottom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 Jätevesijärjestelmän tasokuva</w:t>
            </w:r>
          </w:p>
        </w:tc>
      </w:tr>
      <w:tr w:rsidR="0041499C">
        <w:trPr>
          <w:trHeight w:val="270"/>
        </w:trPr>
        <w:tc>
          <w:tcPr>
            <w:tcW w:w="1441" w:type="dxa"/>
            <w:vAlign w:val="center"/>
          </w:tcPr>
          <w:p w:rsidR="0041499C" w:rsidRDefault="0041499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9" w:type="dxa"/>
            <w:gridSpan w:val="17"/>
            <w:noWrap/>
            <w:vAlign w:val="bottom"/>
          </w:tcPr>
          <w:p w:rsidR="0041499C" w:rsidRDefault="004149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Jätevesijärjestelmän prosessikaavio</w:t>
            </w:r>
          </w:p>
        </w:tc>
      </w:tr>
    </w:tbl>
    <w:p w:rsidR="0041499C" w:rsidRDefault="0041499C"/>
    <w:sectPr w:rsidR="0041499C">
      <w:pgSz w:w="11906" w:h="16838" w:code="9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85FBD"/>
    <w:multiLevelType w:val="multilevel"/>
    <w:tmpl w:val="C8DC45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cumentProtection w:edit="forms" w:enforcement="1"/>
  <w:defaultTabStop w:val="1304"/>
  <w:autoHyphenation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D13"/>
    <w:rsid w:val="0041499C"/>
    <w:rsid w:val="007B7D13"/>
    <w:rsid w:val="00FD260A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6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Otsikko4">
    <w:name w:val="heading 4"/>
    <w:next w:val="Normaali"/>
    <w:qFormat/>
    <w:pPr>
      <w:keepNext/>
      <w:spacing w:before="60" w:after="60"/>
      <w:outlineLvl w:val="3"/>
    </w:pPr>
    <w:rPr>
      <w:b/>
      <w:noProof/>
      <w:sz w:val="24"/>
    </w:rPr>
  </w:style>
  <w:style w:type="paragraph" w:styleId="Otsikko5">
    <w:name w:val="heading 5"/>
    <w:basedOn w:val="Normaali"/>
    <w:next w:val="Normaali"/>
    <w:qFormat/>
    <w:pPr>
      <w:spacing w:before="60" w:after="60"/>
      <w:outlineLvl w:val="4"/>
    </w:pPr>
    <w:rPr>
      <w:b/>
      <w:i/>
    </w:rPr>
  </w:style>
  <w:style w:type="paragraph" w:styleId="Otsikko6">
    <w:name w:val="heading 6"/>
    <w:basedOn w:val="Normaali"/>
    <w:next w:val="Normaali"/>
    <w:qFormat/>
    <w:pPr>
      <w:spacing w:before="60" w:after="60"/>
      <w:outlineLvl w:val="5"/>
    </w:pPr>
    <w:rPr>
      <w:b/>
    </w:rPr>
  </w:style>
  <w:style w:type="paragraph" w:styleId="Otsikko7">
    <w:name w:val="heading 7"/>
    <w:basedOn w:val="Normaali"/>
    <w:next w:val="Normaali"/>
    <w:qFormat/>
    <w:pPr>
      <w:spacing w:before="6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6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6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l24">
    <w:name w:val="xl24"/>
    <w:basedOn w:val="Normaali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ali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ormaali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ali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ali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ali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ali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ali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ali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ali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ali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ali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ali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ali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ali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ali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ali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2">
    <w:name w:val="xl52"/>
    <w:basedOn w:val="Normaali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ali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ali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ali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Normaali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ormaali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11531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JÄTEVESIJÄRJESTELMÄSTÄ, JÄTEVESIJÄRJESTELMÄN KÄYTTÖ- JA HUOLTO-OHJE JA PÄIVÄKIRJA</vt:lpstr>
    </vt:vector>
  </TitlesOfParts>
  <Company>Ympäristöhallinto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JÄTEVESIJÄRJESTELMÄSTÄ, JÄTEVESIJÄRJESTELMÄN KÄYTTÖ- JA HUOLTO-OHJE JA PÄIVÄKIRJA</dc:title>
  <dc:creator>arosilta</dc:creator>
  <cp:lastModifiedBy>Jaakkola Ritva Kemijärvi</cp:lastModifiedBy>
  <cp:revision>2</cp:revision>
  <cp:lastPrinted>2005-12-20T08:01:00Z</cp:lastPrinted>
  <dcterms:created xsi:type="dcterms:W3CDTF">2020-02-25T08:25:00Z</dcterms:created>
  <dcterms:modified xsi:type="dcterms:W3CDTF">2020-02-25T08:25:00Z</dcterms:modified>
</cp:coreProperties>
</file>